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AF" w:rsidRDefault="009C23AF">
      <w:pPr>
        <w:pStyle w:val="normal0"/>
      </w:pPr>
      <w:bookmarkStart w:id="0" w:name="_GoBack"/>
      <w:bookmarkEnd w:id="0"/>
    </w:p>
    <w:tbl>
      <w:tblPr>
        <w:tblStyle w:val="a"/>
        <w:tblW w:w="9495" w:type="dxa"/>
        <w:tblBorders>
          <w:top w:val="nil"/>
          <w:left w:val="nil"/>
          <w:bottom w:val="nil"/>
          <w:right w:val="nil"/>
          <w:insideH w:val="nil"/>
          <w:insideV w:val="nil"/>
        </w:tblBorders>
        <w:tblLayout w:type="fixed"/>
        <w:tblLook w:val="0600" w:firstRow="0" w:lastRow="0" w:firstColumn="0" w:lastColumn="0" w:noHBand="1" w:noVBand="1"/>
      </w:tblPr>
      <w:tblGrid>
        <w:gridCol w:w="9495"/>
      </w:tblGrid>
      <w:tr w:rsidR="009C23AF">
        <w:trPr>
          <w:trHeight w:val="5200"/>
        </w:trPr>
        <w:tc>
          <w:tcPr>
            <w:tcW w:w="949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C23AF" w:rsidRDefault="00F826EA">
            <w:pPr>
              <w:pStyle w:val="normal0"/>
              <w:jc w:val="center"/>
              <w:rPr>
                <w:sz w:val="48"/>
                <w:szCs w:val="48"/>
              </w:rPr>
            </w:pPr>
            <w:r>
              <w:rPr>
                <w:b/>
                <w:sz w:val="48"/>
                <w:szCs w:val="48"/>
              </w:rPr>
              <w:t>8th Grade</w:t>
            </w:r>
            <w:r>
              <w:rPr>
                <w:sz w:val="48"/>
                <w:szCs w:val="48"/>
              </w:rPr>
              <w:t xml:space="preserve">                 </w:t>
            </w:r>
          </w:p>
          <w:p w:rsidR="009C23AF" w:rsidRDefault="00F826EA">
            <w:pPr>
              <w:pStyle w:val="normal0"/>
              <w:jc w:val="center"/>
              <w:rPr>
                <w:b/>
                <w:sz w:val="48"/>
                <w:szCs w:val="48"/>
                <w:shd w:val="clear" w:color="auto" w:fill="3C78D8"/>
              </w:rPr>
            </w:pPr>
            <w:r>
              <w:rPr>
                <w:b/>
                <w:sz w:val="48"/>
                <w:szCs w:val="48"/>
              </w:rPr>
              <w:t xml:space="preserve">             Hope or Economics </w:t>
            </w:r>
            <w:r>
              <w:rPr>
                <w:sz w:val="48"/>
                <w:szCs w:val="48"/>
              </w:rPr>
              <w:t xml:space="preserve">         </w:t>
            </w:r>
            <w:r>
              <w:rPr>
                <w:sz w:val="48"/>
                <w:szCs w:val="48"/>
              </w:rPr>
              <w:tab/>
            </w:r>
            <w:r>
              <w:rPr>
                <w:b/>
                <w:sz w:val="48"/>
                <w:szCs w:val="48"/>
              </w:rPr>
              <w:t xml:space="preserve">  </w:t>
            </w:r>
          </w:p>
          <w:p w:rsidR="009C23AF" w:rsidRDefault="00F826EA">
            <w:pPr>
              <w:pStyle w:val="normal0"/>
              <w:jc w:val="center"/>
              <w:rPr>
                <w:sz w:val="36"/>
                <w:szCs w:val="36"/>
              </w:rPr>
            </w:pPr>
            <w:r>
              <w:rPr>
                <w:noProof/>
                <w:sz w:val="36"/>
                <w:szCs w:val="36"/>
                <w:lang w:val="en-US"/>
              </w:rPr>
              <w:drawing>
                <wp:inline distT="114300" distB="114300" distL="114300" distR="114300">
                  <wp:extent cx="2095500" cy="2762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95500" cy="2762250"/>
                          </a:xfrm>
                          <a:prstGeom prst="rect">
                            <a:avLst/>
                          </a:prstGeom>
                          <a:ln/>
                        </pic:spPr>
                      </pic:pic>
                    </a:graphicData>
                  </a:graphic>
                </wp:inline>
              </w:drawing>
            </w:r>
            <w:r>
              <w:rPr>
                <w:sz w:val="36"/>
                <w:szCs w:val="36"/>
              </w:rPr>
              <w:t xml:space="preserve"> </w:t>
            </w:r>
          </w:p>
          <w:p w:rsidR="009C23AF" w:rsidRDefault="00F826EA">
            <w:pPr>
              <w:pStyle w:val="normal0"/>
              <w:jc w:val="center"/>
              <w:rPr>
                <w:sz w:val="36"/>
                <w:szCs w:val="36"/>
              </w:rPr>
            </w:pPr>
            <w:r>
              <w:rPr>
                <w:sz w:val="36"/>
                <w:szCs w:val="36"/>
              </w:rPr>
              <w:t xml:space="preserve"> </w:t>
            </w:r>
          </w:p>
          <w:p w:rsidR="009C23AF" w:rsidRDefault="00F826EA">
            <w:pPr>
              <w:pStyle w:val="normal0"/>
              <w:jc w:val="center"/>
              <w:rPr>
                <w:b/>
                <w:sz w:val="36"/>
                <w:szCs w:val="36"/>
              </w:rPr>
            </w:pPr>
            <w:r>
              <w:rPr>
                <w:b/>
                <w:sz w:val="36"/>
                <w:szCs w:val="36"/>
              </w:rPr>
              <w:t>FDR, Hope, and Economics</w:t>
            </w:r>
          </w:p>
          <w:p w:rsidR="009C23AF" w:rsidRDefault="009C23AF">
            <w:pPr>
              <w:pStyle w:val="normal0"/>
              <w:rPr>
                <w:sz w:val="24"/>
                <w:szCs w:val="24"/>
              </w:rPr>
            </w:pPr>
          </w:p>
          <w:p w:rsidR="009C23AF" w:rsidRDefault="00F826EA">
            <w:pPr>
              <w:pStyle w:val="normal0"/>
              <w:rPr>
                <w:sz w:val="24"/>
                <w:szCs w:val="24"/>
              </w:rPr>
            </w:pPr>
            <w:r>
              <w:rPr>
                <w:sz w:val="24"/>
                <w:szCs w:val="24"/>
              </w:rPr>
              <w:t>The unit focuses on the presidency of Franklin Roosevelt and how he provided relief to the American people during the Great Depression. The central concept of the unit is to determine how he accomplished this feat, was it through creating hope or sound eco</w:t>
            </w:r>
            <w:r>
              <w:rPr>
                <w:sz w:val="24"/>
                <w:szCs w:val="24"/>
              </w:rPr>
              <w:t>nomic policy. In lesson one… In lesson two, students experience a photographic bus tour of the Great Depression throughout the United States. They will be exposed to 5 different “stops”, including The Stock Market Crash, Hoovervilles, Bread/Soup Lines, The</w:t>
            </w:r>
            <w:r>
              <w:rPr>
                <w:sz w:val="24"/>
                <w:szCs w:val="24"/>
              </w:rPr>
              <w:t xml:space="preserve"> Hoover Dam and lastly, Dust bowls in California. During the Bus tour, there will be a simulation of what it was like waiting for bread. In lesson three, students will work hands on with primary and secondary source documents. They will analyze the documen</w:t>
            </w:r>
            <w:r>
              <w:rPr>
                <w:sz w:val="24"/>
                <w:szCs w:val="24"/>
              </w:rPr>
              <w:t>ts and corroborate evidence they found about the time period. In lesson four, students will work cooperatively to complete a history mystery. This activity will have them determine which documents support economic theory and which support creating hope.The</w:t>
            </w:r>
            <w:r>
              <w:rPr>
                <w:sz w:val="24"/>
                <w:szCs w:val="24"/>
              </w:rPr>
              <w:t xml:space="preserve"> unit concludes in a summative performance, in which students will complete a DBQ essay. They will then take informed action and work on a community wide project about the concept of hope. </w:t>
            </w:r>
          </w:p>
        </w:tc>
      </w:tr>
    </w:tbl>
    <w:p w:rsidR="009C23AF" w:rsidRDefault="009C23AF">
      <w:pPr>
        <w:pStyle w:val="normal0"/>
      </w:pPr>
    </w:p>
    <w:p w:rsidR="009C23AF" w:rsidRDefault="009C23AF">
      <w:pPr>
        <w:pStyle w:val="normal0"/>
      </w:pPr>
    </w:p>
    <w:p w:rsidR="009C23AF" w:rsidRDefault="009C23AF">
      <w:pPr>
        <w:pStyle w:val="normal0"/>
      </w:pPr>
    </w:p>
    <w:tbl>
      <w:tblPr>
        <w:tblStyle w:val="a0"/>
        <w:tblW w:w="9450" w:type="dxa"/>
        <w:tblBorders>
          <w:top w:val="nil"/>
          <w:left w:val="nil"/>
          <w:bottom w:val="nil"/>
          <w:right w:val="nil"/>
          <w:insideH w:val="nil"/>
          <w:insideV w:val="nil"/>
        </w:tblBorders>
        <w:tblLayout w:type="fixed"/>
        <w:tblLook w:val="0600" w:firstRow="0" w:lastRow="0" w:firstColumn="0" w:lastColumn="0" w:noHBand="1" w:noVBand="1"/>
      </w:tblPr>
      <w:tblGrid>
        <w:gridCol w:w="9450"/>
      </w:tblGrid>
      <w:tr w:rsidR="009C23AF">
        <w:trPr>
          <w:trHeight w:val="960"/>
        </w:trPr>
        <w:tc>
          <w:tcPr>
            <w:tcW w:w="945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C23AF" w:rsidRDefault="00F826EA">
            <w:pPr>
              <w:pStyle w:val="normal0"/>
              <w:rPr>
                <w:i/>
                <w:sz w:val="24"/>
                <w:szCs w:val="24"/>
              </w:rPr>
            </w:pPr>
            <w:r>
              <w:t xml:space="preserve">Compelling Question: </w:t>
            </w:r>
            <w:r>
              <w:rPr>
                <w:rFonts w:ascii="Times New Roman" w:eastAsia="Times New Roman" w:hAnsi="Times New Roman" w:cs="Times New Roman"/>
                <w:b/>
                <w:i/>
                <w:sz w:val="24"/>
                <w:szCs w:val="24"/>
              </w:rPr>
              <w:t xml:space="preserve">Did Franklin Roosevelt Get Us Out of The </w:t>
            </w:r>
            <w:r>
              <w:rPr>
                <w:rFonts w:ascii="Times New Roman" w:eastAsia="Times New Roman" w:hAnsi="Times New Roman" w:cs="Times New Roman"/>
                <w:b/>
                <w:i/>
                <w:sz w:val="24"/>
                <w:szCs w:val="24"/>
              </w:rPr>
              <w:t>Depression by Creating Hope or Sound Economic Policy?</w:t>
            </w:r>
          </w:p>
        </w:tc>
      </w:tr>
    </w:tbl>
    <w:p w:rsidR="009C23AF" w:rsidRDefault="009C23AF">
      <w:pPr>
        <w:pStyle w:val="normal0"/>
      </w:pPr>
    </w:p>
    <w:p w:rsidR="009C23AF" w:rsidRDefault="009C23AF">
      <w:pPr>
        <w:pStyle w:val="normal0"/>
      </w:pPr>
    </w:p>
    <w:tbl>
      <w:tblPr>
        <w:tblStyle w:val="a1"/>
        <w:tblW w:w="9495" w:type="dxa"/>
        <w:tblBorders>
          <w:top w:val="nil"/>
          <w:left w:val="nil"/>
          <w:bottom w:val="nil"/>
          <w:right w:val="nil"/>
          <w:insideH w:val="nil"/>
          <w:insideV w:val="nil"/>
        </w:tblBorders>
        <w:tblLayout w:type="fixed"/>
        <w:tblLook w:val="0600" w:firstRow="0" w:lastRow="0" w:firstColumn="0" w:lastColumn="0" w:noHBand="1" w:noVBand="1"/>
      </w:tblPr>
      <w:tblGrid>
        <w:gridCol w:w="9495"/>
      </w:tblGrid>
      <w:tr w:rsidR="009C23AF">
        <w:trPr>
          <w:trHeight w:val="980"/>
        </w:trPr>
        <w:tc>
          <w:tcPr>
            <w:tcW w:w="949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C23AF" w:rsidRDefault="00F826EA">
            <w:pPr>
              <w:pStyle w:val="normal0"/>
              <w:rPr>
                <w:b/>
                <w:i/>
              </w:rPr>
            </w:pPr>
            <w:r>
              <w:t>Staging Question:</w:t>
            </w:r>
            <w:r>
              <w:rPr>
                <w:b/>
                <w:i/>
              </w:rPr>
              <w:t xml:space="preserve"> What is hope?</w:t>
            </w:r>
          </w:p>
        </w:tc>
      </w:tr>
    </w:tbl>
    <w:p w:rsidR="009C23AF" w:rsidRDefault="009C23AF">
      <w:pPr>
        <w:pStyle w:val="normal0"/>
      </w:pPr>
    </w:p>
    <w:tbl>
      <w:tblPr>
        <w:tblStyle w:val="a2"/>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9C23AF">
        <w:trPr>
          <w:trHeight w:val="2880"/>
        </w:trPr>
        <w:tc>
          <w:tcPr>
            <w:tcW w:w="1020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C23AF" w:rsidRDefault="00F826EA">
            <w:pPr>
              <w:pStyle w:val="normal0"/>
            </w:pPr>
            <w:r>
              <w:t>Standards and Practices:</w:t>
            </w:r>
          </w:p>
          <w:p w:rsidR="009C23AF" w:rsidRDefault="00F826EA">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GREAT DEPRESSION: Economic and environmental disasters in the 1930s created hardships for many Americans. Amidst much debate about the appropriate role of the government, President Franklin D. Roosevelt helped to create intensive government interventio</w:t>
            </w:r>
            <w:r>
              <w:rPr>
                <w:rFonts w:ascii="Times New Roman" w:eastAsia="Times New Roman" w:hAnsi="Times New Roman" w:cs="Times New Roman"/>
                <w:b/>
                <w:sz w:val="24"/>
                <w:szCs w:val="24"/>
              </w:rPr>
              <w:t>ns in the United States economy and society. (Standards: 1, 3, 5; Themes: TCC, SOC, GOV, ECO).</w:t>
            </w:r>
          </w:p>
          <w:p w:rsidR="009C23AF" w:rsidRDefault="009C23AF">
            <w:pPr>
              <w:pStyle w:val="normal0"/>
              <w:spacing w:line="240" w:lineRule="auto"/>
              <w:rPr>
                <w:rFonts w:ascii="Times New Roman" w:eastAsia="Times New Roman" w:hAnsi="Times New Roman" w:cs="Times New Roman"/>
                <w:b/>
                <w:sz w:val="24"/>
                <w:szCs w:val="24"/>
              </w:rPr>
            </w:pPr>
          </w:p>
          <w:p w:rsidR="009C23AF" w:rsidRDefault="00F826EA">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Concepts:</w:t>
            </w:r>
          </w:p>
          <w:p w:rsidR="009C23AF" w:rsidRDefault="00F826E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8.5c President Roosevelt issued the New Deal in an attempt to revive the economy and help Americans deal with the hardships of the Great Depression. These New Deal reforms had a long-lasting effect on the role of government in American society and its econ</w:t>
            </w:r>
            <w:r>
              <w:rPr>
                <w:rFonts w:ascii="Times New Roman" w:eastAsia="Times New Roman" w:hAnsi="Times New Roman" w:cs="Times New Roman"/>
                <w:sz w:val="24"/>
                <w:szCs w:val="24"/>
              </w:rPr>
              <w:t>omic life, but did not resolve all of the hardships Americans faced.</w:t>
            </w:r>
          </w:p>
          <w:p w:rsidR="009C23AF" w:rsidRDefault="009C23AF">
            <w:pPr>
              <w:pStyle w:val="normal0"/>
              <w:spacing w:line="240" w:lineRule="auto"/>
              <w:rPr>
                <w:rFonts w:ascii="Times" w:eastAsia="Times" w:hAnsi="Times" w:cs="Times"/>
                <w:sz w:val="24"/>
                <w:szCs w:val="24"/>
              </w:rPr>
            </w:pPr>
          </w:p>
          <w:p w:rsidR="009C23AF" w:rsidRDefault="00F826EA">
            <w:pPr>
              <w:pStyle w:val="normal0"/>
              <w:spacing w:line="240" w:lineRule="auto"/>
              <w:rPr>
                <w:rFonts w:ascii="Times" w:eastAsia="Times" w:hAnsi="Times" w:cs="Times"/>
                <w:b/>
                <w:sz w:val="24"/>
                <w:szCs w:val="24"/>
              </w:rPr>
            </w:pPr>
            <w:r>
              <w:rPr>
                <w:rFonts w:ascii="Times" w:eastAsia="Times" w:hAnsi="Times" w:cs="Times"/>
                <w:b/>
                <w:sz w:val="24"/>
                <w:szCs w:val="24"/>
              </w:rPr>
              <w:t>National Social Studies Standards and Themes</w:t>
            </w:r>
          </w:p>
          <w:p w:rsidR="009C23AF" w:rsidRDefault="00F826EA">
            <w:pPr>
              <w:pStyle w:val="normal0"/>
              <w:spacing w:line="240" w:lineRule="auto"/>
              <w:rPr>
                <w:rFonts w:ascii="Times" w:eastAsia="Times" w:hAnsi="Times" w:cs="Times"/>
                <w:sz w:val="24"/>
                <w:szCs w:val="24"/>
              </w:rPr>
            </w:pPr>
            <w:r>
              <w:rPr>
                <w:rFonts w:ascii="Times" w:eastAsia="Times" w:hAnsi="Times" w:cs="Times"/>
                <w:sz w:val="24"/>
                <w:szCs w:val="24"/>
              </w:rPr>
              <w:t>VI.  Power, Authority, &amp; Governance: Social studies programs should include experiences that provide for the study of how people create and c</w:t>
            </w:r>
            <w:r>
              <w:rPr>
                <w:rFonts w:ascii="Times" w:eastAsia="Times" w:hAnsi="Times" w:cs="Times"/>
                <w:sz w:val="24"/>
                <w:szCs w:val="24"/>
              </w:rPr>
              <w:t>hange structures of power, authority, and governance</w:t>
            </w:r>
          </w:p>
          <w:p w:rsidR="009C23AF" w:rsidRDefault="009C23AF">
            <w:pPr>
              <w:pStyle w:val="normal0"/>
              <w:spacing w:line="240" w:lineRule="auto"/>
              <w:rPr>
                <w:rFonts w:ascii="Times New Roman" w:eastAsia="Times New Roman" w:hAnsi="Times New Roman" w:cs="Times New Roman"/>
                <w:b/>
                <w:sz w:val="24"/>
                <w:szCs w:val="24"/>
              </w:rPr>
            </w:pPr>
          </w:p>
          <w:p w:rsidR="009C23AF" w:rsidRDefault="00F826EA">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Practices: Habits of Mind</w:t>
            </w:r>
          </w:p>
          <w:p w:rsidR="009C23AF" w:rsidRDefault="00F826EA">
            <w:pPr>
              <w:pStyle w:val="normal0"/>
              <w:spacing w:line="240" w:lineRule="auto"/>
              <w:rPr>
                <w:rFonts w:ascii="Times" w:eastAsia="Times" w:hAnsi="Times" w:cs="Times"/>
                <w:sz w:val="24"/>
                <w:szCs w:val="24"/>
              </w:rPr>
            </w:pPr>
            <w:r>
              <w:rPr>
                <w:rFonts w:ascii="Times New Roman" w:eastAsia="Times New Roman" w:hAnsi="Times New Roman" w:cs="Times New Roman"/>
                <w:sz w:val="24"/>
                <w:szCs w:val="24"/>
              </w:rPr>
              <w:t>E. Economics and Economic Systems</w:t>
            </w:r>
          </w:p>
          <w:p w:rsidR="009C23AF" w:rsidRDefault="00F826EA">
            <w:pPr>
              <w:pStyle w:val="normal0"/>
              <w:spacing w:line="240" w:lineRule="auto"/>
            </w:pPr>
            <w:r>
              <w:rPr>
                <w:rFonts w:ascii="Times" w:eastAsia="Times" w:hAnsi="Times" w:cs="Times"/>
                <w:sz w:val="24"/>
                <w:szCs w:val="24"/>
              </w:rPr>
              <w:t>.</w:t>
            </w:r>
          </w:p>
        </w:tc>
      </w:tr>
    </w:tbl>
    <w:p w:rsidR="009C23AF" w:rsidRDefault="009C23AF">
      <w:pPr>
        <w:pStyle w:val="normal0"/>
      </w:pPr>
    </w:p>
    <w:p w:rsidR="009C23AF" w:rsidRDefault="009C23AF">
      <w:pPr>
        <w:pStyle w:val="normal0"/>
      </w:pPr>
    </w:p>
    <w:tbl>
      <w:tblPr>
        <w:tblStyle w:val="a3"/>
        <w:tblW w:w="10320" w:type="dxa"/>
        <w:tblBorders>
          <w:top w:val="nil"/>
          <w:left w:val="nil"/>
          <w:bottom w:val="nil"/>
          <w:right w:val="nil"/>
          <w:insideH w:val="nil"/>
          <w:insideV w:val="nil"/>
        </w:tblBorders>
        <w:tblLayout w:type="fixed"/>
        <w:tblLook w:val="0600" w:firstRow="0" w:lastRow="0" w:firstColumn="0" w:lastColumn="0" w:noHBand="1" w:noVBand="1"/>
      </w:tblPr>
      <w:tblGrid>
        <w:gridCol w:w="2085"/>
        <w:gridCol w:w="3570"/>
        <w:gridCol w:w="4665"/>
      </w:tblGrid>
      <w:tr w:rsidR="009C23AF">
        <w:trPr>
          <w:trHeight w:val="4400"/>
        </w:trPr>
        <w:tc>
          <w:tcPr>
            <w:tcW w:w="2085"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lastRenderedPageBreak/>
              <w:t>1. Supporting Question:</w:t>
            </w:r>
          </w:p>
          <w:p w:rsidR="009C23AF" w:rsidRDefault="00F826EA">
            <w:pPr>
              <w:pStyle w:val="normal0"/>
              <w:jc w:val="center"/>
              <w:rPr>
                <w:b/>
              </w:rPr>
            </w:pPr>
            <w:r>
              <w:rPr>
                <w:b/>
              </w:rPr>
              <w:t xml:space="preserve"> </w:t>
            </w:r>
          </w:p>
          <w:p w:rsidR="009C23AF" w:rsidRDefault="00F826EA">
            <w:pPr>
              <w:pStyle w:val="normal0"/>
              <w:jc w:val="center"/>
            </w:pPr>
            <w:r>
              <w:t>What is hope? Does hope have more than one meaning?</w:t>
            </w:r>
          </w:p>
        </w:tc>
        <w:tc>
          <w:tcPr>
            <w:tcW w:w="3570"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Formative Task:</w:t>
            </w:r>
          </w:p>
          <w:p w:rsidR="009C23AF" w:rsidRDefault="00F826EA">
            <w:pPr>
              <w:pStyle w:val="normal0"/>
              <w:jc w:val="center"/>
              <w:rPr>
                <w:b/>
                <w:sz w:val="24"/>
                <w:szCs w:val="24"/>
              </w:rPr>
            </w:pPr>
            <w:r>
              <w:rPr>
                <w:b/>
                <w:sz w:val="24"/>
                <w:szCs w:val="24"/>
              </w:rPr>
              <w:t xml:space="preserve"> </w:t>
            </w:r>
          </w:p>
          <w:p w:rsidR="009C23AF" w:rsidRDefault="00F826EA">
            <w:pPr>
              <w:pStyle w:val="normal0"/>
              <w:jc w:val="center"/>
              <w:rPr>
                <w:b/>
              </w:rPr>
            </w:pPr>
            <w:r>
              <w:t xml:space="preserve">Students will explore multiple avenues of hope through various activities. Students will analyze the book </w:t>
            </w:r>
            <w:r>
              <w:rPr>
                <w:i/>
              </w:rPr>
              <w:t>Rosie Revere, Engineer</w:t>
            </w:r>
            <w:r>
              <w:t>, a clip from the movie Superman, and will engage in an activity with a lotto ticket. Students will be introduced to Keynesian E</w:t>
            </w:r>
            <w:r>
              <w:t>conomics and parts of the New Deal and determine if hope or sound economic policy got America out of the Great Depression.</w:t>
            </w:r>
            <w:r>
              <w:rPr>
                <w:b/>
              </w:rPr>
              <w:t xml:space="preserve"> </w:t>
            </w:r>
          </w:p>
        </w:tc>
        <w:tc>
          <w:tcPr>
            <w:tcW w:w="466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Sources:</w:t>
            </w:r>
          </w:p>
          <w:p w:rsidR="009C23AF" w:rsidRDefault="00F826EA">
            <w:pPr>
              <w:pStyle w:val="normal0"/>
              <w:jc w:val="center"/>
              <w:rPr>
                <w:b/>
              </w:rPr>
            </w:pPr>
            <w:r>
              <w:rPr>
                <w:b/>
              </w:rPr>
              <w:t xml:space="preserve"> </w:t>
            </w:r>
          </w:p>
          <w:p w:rsidR="009C23AF" w:rsidRDefault="00F826EA">
            <w:pPr>
              <w:pStyle w:val="normal0"/>
              <w:spacing w:line="240" w:lineRule="auto"/>
              <w:rPr>
                <w:rFonts w:ascii="Times New Roman" w:eastAsia="Times New Roman" w:hAnsi="Times New Roman" w:cs="Times New Roman"/>
                <w:i/>
                <w:color w:val="333333"/>
                <w:highlight w:val="white"/>
              </w:rPr>
            </w:pPr>
            <w:r>
              <w:rPr>
                <w:rFonts w:ascii="Times New Roman" w:eastAsia="Times New Roman" w:hAnsi="Times New Roman" w:cs="Times New Roman"/>
                <w:color w:val="333333"/>
                <w:highlight w:val="white"/>
              </w:rPr>
              <w:t>Bateman, B. W. (2015). An Encyclopedia of Keynesian Economics. 2nd ed. </w:t>
            </w:r>
            <w:r>
              <w:rPr>
                <w:rFonts w:ascii="Times New Roman" w:eastAsia="Times New Roman" w:hAnsi="Times New Roman" w:cs="Times New Roman"/>
                <w:i/>
                <w:color w:val="333333"/>
                <w:highlight w:val="white"/>
              </w:rPr>
              <w:t>History of</w:t>
            </w:r>
          </w:p>
          <w:p w:rsidR="009C23AF" w:rsidRDefault="00F826EA">
            <w:pPr>
              <w:pStyle w:val="normal0"/>
              <w:spacing w:line="240" w:lineRule="auto"/>
              <w:ind w:firstLine="720"/>
              <w:rPr>
                <w:rFonts w:ascii="Times New Roman" w:eastAsia="Times New Roman" w:hAnsi="Times New Roman" w:cs="Times New Roman"/>
              </w:rPr>
            </w:pPr>
            <w:r>
              <w:rPr>
                <w:rFonts w:ascii="Times New Roman" w:eastAsia="Times New Roman" w:hAnsi="Times New Roman" w:cs="Times New Roman"/>
                <w:i/>
                <w:color w:val="333333"/>
                <w:highlight w:val="white"/>
              </w:rPr>
              <w:t>Political Economy, 47</w:t>
            </w:r>
            <w:r>
              <w:rPr>
                <w:rFonts w:ascii="Times New Roman" w:eastAsia="Times New Roman" w:hAnsi="Times New Roman" w:cs="Times New Roman"/>
                <w:color w:val="333333"/>
                <w:highlight w:val="white"/>
              </w:rPr>
              <w:t>(3), pp. 535-536. doi:10.1215/00182702-3153176</w:t>
            </w:r>
          </w:p>
          <w:p w:rsidR="009C23AF" w:rsidRDefault="009C23AF">
            <w:pPr>
              <w:pStyle w:val="normal0"/>
              <w:spacing w:line="240" w:lineRule="auto"/>
              <w:rPr>
                <w:rFonts w:ascii="Times New Roman" w:eastAsia="Times New Roman" w:hAnsi="Times New Roman" w:cs="Times New Roman"/>
              </w:rPr>
            </w:pPr>
          </w:p>
          <w:p w:rsidR="009C23AF" w:rsidRDefault="00F826EA">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Beaty, A., &amp; Roberts, D. (2013). </w:t>
            </w:r>
            <w:r>
              <w:rPr>
                <w:rFonts w:ascii="Times New Roman" w:eastAsia="Times New Roman" w:hAnsi="Times New Roman" w:cs="Times New Roman"/>
                <w:i/>
              </w:rPr>
              <w:t>Rosie Revere, Engineer</w:t>
            </w:r>
            <w:r>
              <w:rPr>
                <w:rFonts w:ascii="Times New Roman" w:eastAsia="Times New Roman" w:hAnsi="Times New Roman" w:cs="Times New Roman"/>
              </w:rPr>
              <w:t>.  Abrams Books for Young</w:t>
            </w:r>
          </w:p>
          <w:p w:rsidR="009C23AF" w:rsidRDefault="00F826EA">
            <w:pPr>
              <w:pStyle w:val="normal0"/>
              <w:spacing w:line="240" w:lineRule="auto"/>
              <w:ind w:firstLine="720"/>
              <w:rPr>
                <w:rFonts w:ascii="Times New Roman" w:eastAsia="Times New Roman" w:hAnsi="Times New Roman" w:cs="Times New Roman"/>
              </w:rPr>
            </w:pPr>
            <w:r>
              <w:rPr>
                <w:rFonts w:ascii="Times New Roman" w:eastAsia="Times New Roman" w:hAnsi="Times New Roman" w:cs="Times New Roman"/>
              </w:rPr>
              <w:t>Readers, New York.</w:t>
            </w:r>
          </w:p>
          <w:p w:rsidR="009C23AF" w:rsidRDefault="009C23AF">
            <w:pPr>
              <w:pStyle w:val="normal0"/>
              <w:spacing w:line="240" w:lineRule="auto"/>
              <w:rPr>
                <w:rFonts w:ascii="Times New Roman" w:eastAsia="Times New Roman" w:hAnsi="Times New Roman" w:cs="Times New Roman"/>
              </w:rPr>
            </w:pPr>
          </w:p>
          <w:p w:rsidR="009C23AF" w:rsidRDefault="00F826EA">
            <w:pPr>
              <w:pStyle w:val="normal0"/>
              <w:spacing w:line="240" w:lineRule="auto"/>
              <w:rPr>
                <w:rFonts w:ascii="Times New Roman" w:eastAsia="Times New Roman" w:hAnsi="Times New Roman" w:cs="Times New Roman"/>
                <w:i/>
                <w:color w:val="333333"/>
                <w:highlight w:val="white"/>
              </w:rPr>
            </w:pPr>
            <w:r>
              <w:rPr>
                <w:rFonts w:ascii="Times New Roman" w:eastAsia="Times New Roman" w:hAnsi="Times New Roman" w:cs="Times New Roman"/>
                <w:color w:val="333333"/>
                <w:highlight w:val="white"/>
              </w:rPr>
              <w:t>Black, J, Hashimzade, N, Myles, G. (2017, January 12). Keynesian economics </w:t>
            </w:r>
            <w:r>
              <w:rPr>
                <w:rFonts w:ascii="Times New Roman" w:eastAsia="Times New Roman" w:hAnsi="Times New Roman" w:cs="Times New Roman"/>
                <w:i/>
                <w:color w:val="333333"/>
                <w:highlight w:val="white"/>
              </w:rPr>
              <w:t>A</w:t>
            </w:r>
          </w:p>
          <w:p w:rsidR="009C23AF" w:rsidRDefault="00F826EA">
            <w:pPr>
              <w:pStyle w:val="normal0"/>
              <w:spacing w:line="240" w:lineRule="auto"/>
              <w:ind w:firstLine="720"/>
              <w:rPr>
                <w:rFonts w:ascii="Times New Roman" w:eastAsia="Times New Roman" w:hAnsi="Times New Roman" w:cs="Times New Roman"/>
              </w:rPr>
            </w:pPr>
            <w:r>
              <w:rPr>
                <w:rFonts w:ascii="Times New Roman" w:eastAsia="Times New Roman" w:hAnsi="Times New Roman" w:cs="Times New Roman"/>
                <w:i/>
                <w:color w:val="333333"/>
                <w:highlight w:val="white"/>
              </w:rPr>
              <w:t>Dictionary of Economics</w:t>
            </w:r>
            <w:r>
              <w:rPr>
                <w:rFonts w:ascii="Times New Roman" w:eastAsia="Times New Roman" w:hAnsi="Times New Roman" w:cs="Times New Roman"/>
                <w:color w:val="333333"/>
                <w:highlight w:val="white"/>
              </w:rPr>
              <w:t>. Oxfor</w:t>
            </w:r>
            <w:r>
              <w:rPr>
                <w:rFonts w:ascii="Times New Roman" w:eastAsia="Times New Roman" w:hAnsi="Times New Roman" w:cs="Times New Roman"/>
                <w:color w:val="333333"/>
                <w:highlight w:val="white"/>
              </w:rPr>
              <w:t xml:space="preserve">d University Press. </w:t>
            </w:r>
          </w:p>
          <w:p w:rsidR="009C23AF" w:rsidRDefault="009C23AF">
            <w:pPr>
              <w:pStyle w:val="normal0"/>
              <w:spacing w:line="240" w:lineRule="auto"/>
              <w:rPr>
                <w:rFonts w:ascii="Times New Roman" w:eastAsia="Times New Roman" w:hAnsi="Times New Roman" w:cs="Times New Roman"/>
                <w:b/>
              </w:rPr>
            </w:pPr>
          </w:p>
          <w:p w:rsidR="009C23AF" w:rsidRDefault="00F826EA">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Harari, Yuval N. (2015).</w:t>
            </w:r>
            <w:r>
              <w:rPr>
                <w:rFonts w:ascii="Times New Roman" w:eastAsia="Times New Roman" w:hAnsi="Times New Roman" w:cs="Times New Roman"/>
                <w:i/>
              </w:rPr>
              <w:t xml:space="preserve"> Sapiens: A brief history of humankind. </w:t>
            </w:r>
            <w:r>
              <w:rPr>
                <w:rFonts w:ascii="Times New Roman" w:eastAsia="Times New Roman" w:hAnsi="Times New Roman" w:cs="Times New Roman"/>
              </w:rPr>
              <w:t>New York :Harper,</w:t>
            </w:r>
          </w:p>
          <w:p w:rsidR="009C23AF" w:rsidRDefault="00F826EA">
            <w:pPr>
              <w:pStyle w:val="normal0"/>
              <w:spacing w:line="240" w:lineRule="auto"/>
              <w:ind w:firstLine="720"/>
              <w:rPr>
                <w:rFonts w:ascii="Times New Roman" w:eastAsia="Times New Roman" w:hAnsi="Times New Roman" w:cs="Times New Roman"/>
              </w:rPr>
            </w:pPr>
            <w:r>
              <w:rPr>
                <w:rFonts w:ascii="Times New Roman" w:eastAsia="Times New Roman" w:hAnsi="Times New Roman" w:cs="Times New Roman"/>
              </w:rPr>
              <w:t>Chapter 16.</w:t>
            </w:r>
          </w:p>
          <w:p w:rsidR="009C23AF" w:rsidRDefault="009C23AF">
            <w:pPr>
              <w:pStyle w:val="normal0"/>
              <w:spacing w:line="240" w:lineRule="auto"/>
              <w:rPr>
                <w:rFonts w:ascii="Times New Roman" w:eastAsia="Times New Roman" w:hAnsi="Times New Roman" w:cs="Times New Roman"/>
              </w:rPr>
            </w:pPr>
          </w:p>
          <w:p w:rsidR="009C23AF" w:rsidRDefault="00F826EA">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Martinelli, D. K. (2007). New deal public relations: A glimpse into FDR press secretary</w:t>
            </w:r>
          </w:p>
          <w:p w:rsidR="009C23AF" w:rsidRDefault="00F826EA">
            <w:pPr>
              <w:pStyle w:val="normal0"/>
              <w:spacing w:line="240" w:lineRule="auto"/>
              <w:ind w:firstLine="720"/>
              <w:rPr>
                <w:rFonts w:ascii="Times New Roman" w:eastAsia="Times New Roman" w:hAnsi="Times New Roman" w:cs="Times New Roman"/>
              </w:rPr>
            </w:pPr>
            <w:r>
              <w:rPr>
                <w:rFonts w:ascii="Times New Roman" w:eastAsia="Times New Roman" w:hAnsi="Times New Roman" w:cs="Times New Roman"/>
              </w:rPr>
              <w:t>Stephen Early's work. </w:t>
            </w:r>
            <w:r>
              <w:rPr>
                <w:rFonts w:ascii="Times New Roman" w:eastAsia="Times New Roman" w:hAnsi="Times New Roman" w:cs="Times New Roman"/>
                <w:i/>
              </w:rPr>
              <w:t>Public Relations Review, 33</w:t>
            </w:r>
            <w:r>
              <w:rPr>
                <w:rFonts w:ascii="Times New Roman" w:eastAsia="Times New Roman" w:hAnsi="Times New Roman" w:cs="Times New Roman"/>
              </w:rPr>
              <w:t>(1</w:t>
            </w:r>
            <w:r>
              <w:rPr>
                <w:rFonts w:ascii="Times New Roman" w:eastAsia="Times New Roman" w:hAnsi="Times New Roman" w:cs="Times New Roman"/>
              </w:rPr>
              <w:t xml:space="preserve">), pp. 49-57. </w:t>
            </w:r>
          </w:p>
          <w:p w:rsidR="009C23AF" w:rsidRDefault="009C23AF">
            <w:pPr>
              <w:pStyle w:val="normal0"/>
              <w:spacing w:line="240" w:lineRule="auto"/>
              <w:rPr>
                <w:rFonts w:ascii="Times New Roman" w:eastAsia="Times New Roman" w:hAnsi="Times New Roman" w:cs="Times New Roman"/>
              </w:rPr>
            </w:pPr>
          </w:p>
          <w:p w:rsidR="009C23AF" w:rsidRDefault="00F826EA">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Roosevelt, F. (1933). Inaugural Fireside Chat. National Archives; March 12, 1933. </w:t>
            </w:r>
          </w:p>
          <w:p w:rsidR="009C23AF" w:rsidRDefault="00F826EA">
            <w:pPr>
              <w:pStyle w:val="normal0"/>
              <w:spacing w:line="240" w:lineRule="auto"/>
              <w:rPr>
                <w:rFonts w:ascii="Times" w:eastAsia="Times" w:hAnsi="Times" w:cs="Times"/>
              </w:rPr>
            </w:pPr>
            <w:r>
              <w:rPr>
                <w:rFonts w:ascii="Times New Roman" w:eastAsia="Times New Roman" w:hAnsi="Times New Roman" w:cs="Times New Roman"/>
              </w:rPr>
              <w:br/>
              <w:t>Sheehan, K, Ryan, J. (2017). </w:t>
            </w:r>
            <w:r>
              <w:rPr>
                <w:rFonts w:ascii="Times New Roman" w:eastAsia="Times New Roman" w:hAnsi="Times New Roman" w:cs="Times New Roman"/>
                <w:i/>
              </w:rPr>
              <w:t>Growing a Growth Mindset: Unlocking Character Strengths through Children's Literature</w:t>
            </w:r>
            <w:r>
              <w:rPr>
                <w:rFonts w:ascii="Times New Roman" w:eastAsia="Times New Roman" w:hAnsi="Times New Roman" w:cs="Times New Roman"/>
              </w:rPr>
              <w:t>. Lanham: Rowman &amp; Littlefield Publishers.</w:t>
            </w:r>
          </w:p>
          <w:p w:rsidR="009C23AF" w:rsidRDefault="009C23AF">
            <w:pPr>
              <w:pStyle w:val="normal0"/>
              <w:widowControl w:val="0"/>
              <w:pBdr>
                <w:top w:val="nil"/>
                <w:left w:val="nil"/>
                <w:bottom w:val="nil"/>
                <w:right w:val="nil"/>
                <w:between w:val="nil"/>
              </w:pBdr>
            </w:pPr>
          </w:p>
        </w:tc>
      </w:tr>
    </w:tbl>
    <w:p w:rsidR="009C23AF" w:rsidRDefault="009C23AF">
      <w:pPr>
        <w:pStyle w:val="normal0"/>
      </w:pPr>
    </w:p>
    <w:p w:rsidR="009C23AF" w:rsidRDefault="009C23AF">
      <w:pPr>
        <w:pStyle w:val="normal0"/>
      </w:pPr>
    </w:p>
    <w:tbl>
      <w:tblPr>
        <w:tblStyle w:val="a4"/>
        <w:tblW w:w="10290" w:type="dxa"/>
        <w:tblBorders>
          <w:top w:val="nil"/>
          <w:left w:val="nil"/>
          <w:bottom w:val="nil"/>
          <w:right w:val="nil"/>
          <w:insideH w:val="nil"/>
          <w:insideV w:val="nil"/>
        </w:tblBorders>
        <w:tblLayout w:type="fixed"/>
        <w:tblLook w:val="0600" w:firstRow="0" w:lastRow="0" w:firstColumn="0" w:lastColumn="0" w:noHBand="1" w:noVBand="1"/>
      </w:tblPr>
      <w:tblGrid>
        <w:gridCol w:w="3030"/>
        <w:gridCol w:w="3975"/>
        <w:gridCol w:w="3285"/>
      </w:tblGrid>
      <w:tr w:rsidR="009C23AF">
        <w:trPr>
          <w:trHeight w:val="3960"/>
        </w:trPr>
        <w:tc>
          <w:tcPr>
            <w:tcW w:w="303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lastRenderedPageBreak/>
              <w:t>2. Supporting Question:</w:t>
            </w:r>
          </w:p>
          <w:p w:rsidR="009C23AF" w:rsidRDefault="00F826EA">
            <w:pPr>
              <w:pStyle w:val="normal0"/>
              <w:jc w:val="center"/>
              <w:rPr>
                <w:b/>
              </w:rPr>
            </w:pPr>
            <w:r>
              <w:rPr>
                <w:b/>
              </w:rPr>
              <w:t xml:space="preserve"> </w:t>
            </w:r>
          </w:p>
          <w:p w:rsidR="009C23AF" w:rsidRDefault="00F826EA">
            <w:pPr>
              <w:pStyle w:val="normal0"/>
              <w:spacing w:line="240" w:lineRule="auto"/>
            </w:pPr>
            <w:r>
              <w:t xml:space="preserve">How were living conditions during the Great Depression? How did living conditions change throughout your journey? </w:t>
            </w:r>
          </w:p>
        </w:tc>
        <w:tc>
          <w:tcPr>
            <w:tcW w:w="3975"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Formative Task:</w:t>
            </w:r>
          </w:p>
          <w:p w:rsidR="009C23AF" w:rsidRDefault="00F826EA">
            <w:pPr>
              <w:pStyle w:val="normal0"/>
              <w:jc w:val="center"/>
              <w:rPr>
                <w:b/>
                <w:sz w:val="24"/>
                <w:szCs w:val="24"/>
              </w:rPr>
            </w:pPr>
            <w:r>
              <w:rPr>
                <w:b/>
                <w:sz w:val="24"/>
                <w:szCs w:val="24"/>
              </w:rPr>
              <w:t xml:space="preserve"> </w:t>
            </w:r>
          </w:p>
          <w:p w:rsidR="009C23AF" w:rsidRDefault="00F826EA">
            <w:pPr>
              <w:pStyle w:val="normal0"/>
              <w:jc w:val="center"/>
            </w:pPr>
            <w:r>
              <w:t xml:space="preserve">Students will take a virtual bus tour starting in New York City, ending in California. Throughout this task, students will see how it was to live during the Great Depression as well as how life changed within in each state. </w:t>
            </w:r>
          </w:p>
          <w:p w:rsidR="009C23AF" w:rsidRDefault="00F826EA">
            <w:pPr>
              <w:pStyle w:val="normal0"/>
              <w:jc w:val="center"/>
            </w:pPr>
            <w:r>
              <w:t xml:space="preserve"> </w:t>
            </w:r>
          </w:p>
          <w:p w:rsidR="009C23AF" w:rsidRDefault="00F826EA">
            <w:pPr>
              <w:pStyle w:val="normal0"/>
              <w:jc w:val="center"/>
            </w:pPr>
            <w:r>
              <w:t xml:space="preserve"> </w:t>
            </w:r>
          </w:p>
          <w:p w:rsidR="009C23AF" w:rsidRDefault="00F826EA">
            <w:pPr>
              <w:pStyle w:val="normal0"/>
              <w:jc w:val="center"/>
              <w:rPr>
                <w:b/>
              </w:rPr>
            </w:pPr>
            <w:r>
              <w:rPr>
                <w:b/>
              </w:rPr>
              <w:t xml:space="preserve"> </w:t>
            </w:r>
          </w:p>
        </w:tc>
        <w:tc>
          <w:tcPr>
            <w:tcW w:w="328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Sources:</w:t>
            </w:r>
          </w:p>
          <w:p w:rsidR="009C23AF" w:rsidRDefault="00F826EA">
            <w:pPr>
              <w:pStyle w:val="normal0"/>
              <w:jc w:val="center"/>
              <w:rPr>
                <w:b/>
              </w:rPr>
            </w:pPr>
            <w:r>
              <w:rPr>
                <w:b/>
              </w:rPr>
              <w:t xml:space="preserve"> </w:t>
            </w:r>
          </w:p>
          <w:p w:rsidR="009C23AF" w:rsidRDefault="00F826EA">
            <w:pPr>
              <w:pStyle w:val="normal0"/>
              <w:widowControl w:val="0"/>
              <w:spacing w:line="240" w:lineRule="auto"/>
              <w:rPr>
                <w:rFonts w:ascii="Times New Roman" w:eastAsia="Times New Roman" w:hAnsi="Times New Roman" w:cs="Times New Roman"/>
                <w:color w:val="1155CC"/>
              </w:rPr>
            </w:pPr>
            <w:r>
              <w:rPr>
                <w:rFonts w:ascii="Times New Roman" w:eastAsia="Times New Roman" w:hAnsi="Times New Roman" w:cs="Times New Roman"/>
              </w:rPr>
              <w:t xml:space="preserve">The Teacher’s </w:t>
            </w:r>
            <w:r>
              <w:rPr>
                <w:rFonts w:ascii="Times New Roman" w:eastAsia="Times New Roman" w:hAnsi="Times New Roman" w:cs="Times New Roman"/>
              </w:rPr>
              <w:t xml:space="preserve">Passport (n.d.) </w:t>
            </w:r>
            <w:r>
              <w:rPr>
                <w:rFonts w:ascii="Times New Roman" w:eastAsia="Times New Roman" w:hAnsi="Times New Roman" w:cs="Times New Roman"/>
                <w:i/>
              </w:rPr>
              <w:t>Travel Bundle (Passports, Boarding Passes, Travel Journals).</w:t>
            </w:r>
            <w:r>
              <w:rPr>
                <w:rFonts w:ascii="Times New Roman" w:eastAsia="Times New Roman" w:hAnsi="Times New Roman" w:cs="Times New Roman"/>
              </w:rPr>
              <w:t xml:space="preserve">Teachers Pay Teachers. Retrieved from </w:t>
            </w:r>
            <w:r>
              <w:fldChar w:fldCharType="begin"/>
            </w:r>
            <w:r>
              <w:instrText xml:space="preserve"> HYPERLINK "https://www.teacherspayteachers.com/Product/Travel-Bundle-Passports-Boarding-Passes-Travel-Journals-1997983" </w:instrText>
            </w:r>
            <w:r>
              <w:fldChar w:fldCharType="separate"/>
            </w:r>
            <w:r>
              <w:rPr>
                <w:rFonts w:ascii="Times New Roman" w:eastAsia="Times New Roman" w:hAnsi="Times New Roman" w:cs="Times New Roman"/>
                <w:color w:val="1155CC"/>
              </w:rPr>
              <w:t>https://www.teachersp</w:t>
            </w:r>
            <w:r>
              <w:rPr>
                <w:rFonts w:ascii="Times New Roman" w:eastAsia="Times New Roman" w:hAnsi="Times New Roman" w:cs="Times New Roman"/>
                <w:color w:val="1155CC"/>
              </w:rPr>
              <w:t>ayteachers.com/Product/Travel-Bundle-Passports-Boarding-Passes-Travel-Journals-1997983</w:t>
            </w:r>
          </w:p>
          <w:p w:rsidR="009C23AF" w:rsidRDefault="00F826EA">
            <w:pPr>
              <w:pStyle w:val="normal0"/>
              <w:widowControl w:val="0"/>
              <w:spacing w:line="240" w:lineRule="auto"/>
              <w:rPr>
                <w:rFonts w:ascii="Times New Roman" w:eastAsia="Times New Roman" w:hAnsi="Times New Roman" w:cs="Times New Roman"/>
              </w:rPr>
            </w:pPr>
            <w:r>
              <w:fldChar w:fldCharType="end"/>
            </w:r>
            <w:r>
              <w:rPr>
                <w:rFonts w:ascii="Times New Roman" w:eastAsia="Times New Roman" w:hAnsi="Times New Roman" w:cs="Times New Roman"/>
              </w:rPr>
              <w:t>Great Depression Simulation &amp; Lecture (n.d.) (PowerPoint Presentations, Simulations)</w:t>
            </w:r>
          </w:p>
          <w:p w:rsidR="009C23AF" w:rsidRDefault="00F826EA">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Teachers Pay Teachers. Retrieved from</w:t>
            </w:r>
          </w:p>
          <w:p w:rsidR="009C23AF" w:rsidRDefault="00F826EA">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https://www.teacherspayteachers.com/Product</w:t>
            </w:r>
            <w:r>
              <w:rPr>
                <w:rFonts w:ascii="Times New Roman" w:eastAsia="Times New Roman" w:hAnsi="Times New Roman" w:cs="Times New Roman"/>
              </w:rPr>
              <w:t>/Great-Depression-Simulation-Lecture-FUN-1666219</w:t>
            </w:r>
          </w:p>
          <w:p w:rsidR="009C23AF" w:rsidRDefault="009C23AF">
            <w:pPr>
              <w:pStyle w:val="normal0"/>
              <w:widowControl w:val="0"/>
              <w:pBdr>
                <w:top w:val="nil"/>
                <w:left w:val="nil"/>
                <w:bottom w:val="nil"/>
                <w:right w:val="nil"/>
                <w:between w:val="nil"/>
              </w:pBdr>
            </w:pPr>
          </w:p>
        </w:tc>
      </w:tr>
    </w:tbl>
    <w:p w:rsidR="009C23AF" w:rsidRDefault="009C23AF">
      <w:pPr>
        <w:pStyle w:val="normal0"/>
      </w:pPr>
    </w:p>
    <w:p w:rsidR="009C23AF" w:rsidRDefault="009C23AF">
      <w:pPr>
        <w:pStyle w:val="normal0"/>
      </w:pPr>
    </w:p>
    <w:tbl>
      <w:tblPr>
        <w:tblStyle w:val="a5"/>
        <w:tblW w:w="10260" w:type="dxa"/>
        <w:tblBorders>
          <w:top w:val="nil"/>
          <w:left w:val="nil"/>
          <w:bottom w:val="nil"/>
          <w:right w:val="nil"/>
          <w:insideH w:val="nil"/>
          <w:insideV w:val="nil"/>
        </w:tblBorders>
        <w:tblLayout w:type="fixed"/>
        <w:tblLook w:val="0600" w:firstRow="0" w:lastRow="0" w:firstColumn="0" w:lastColumn="0" w:noHBand="1" w:noVBand="1"/>
      </w:tblPr>
      <w:tblGrid>
        <w:gridCol w:w="3375"/>
        <w:gridCol w:w="3675"/>
        <w:gridCol w:w="3210"/>
      </w:tblGrid>
      <w:tr w:rsidR="009C23AF">
        <w:trPr>
          <w:trHeight w:val="4280"/>
        </w:trPr>
        <w:tc>
          <w:tcPr>
            <w:tcW w:w="3375"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3. Supporting Question:</w:t>
            </w:r>
          </w:p>
          <w:p w:rsidR="009C23AF" w:rsidRDefault="00F826EA">
            <w:pPr>
              <w:pStyle w:val="normal0"/>
              <w:jc w:val="center"/>
              <w:rPr>
                <w:b/>
              </w:rPr>
            </w:pPr>
            <w:r>
              <w:rPr>
                <w:b/>
              </w:rPr>
              <w:t xml:space="preserve"> </w:t>
            </w:r>
          </w:p>
          <w:p w:rsidR="009C23AF" w:rsidRDefault="00F826EA">
            <w:pPr>
              <w:pStyle w:val="normal0"/>
              <w:widowControl w:val="0"/>
              <w:spacing w:after="320"/>
              <w:jc w:val="center"/>
              <w:rPr>
                <w:sz w:val="24"/>
                <w:szCs w:val="24"/>
              </w:rPr>
            </w:pPr>
            <w:r>
              <w:rPr>
                <w:sz w:val="24"/>
                <w:szCs w:val="24"/>
              </w:rPr>
              <w:t>What can we learn about FDR’s presidency and the Great Depression from primary and secondary source documents, using the SSMS method?</w:t>
            </w:r>
          </w:p>
        </w:tc>
        <w:tc>
          <w:tcPr>
            <w:tcW w:w="3675"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Formative Task:</w:t>
            </w:r>
          </w:p>
          <w:p w:rsidR="009C23AF" w:rsidRDefault="00F826EA">
            <w:pPr>
              <w:pStyle w:val="normal0"/>
              <w:jc w:val="center"/>
              <w:rPr>
                <w:b/>
                <w:sz w:val="24"/>
                <w:szCs w:val="24"/>
              </w:rPr>
            </w:pPr>
            <w:r>
              <w:rPr>
                <w:b/>
                <w:sz w:val="24"/>
                <w:szCs w:val="24"/>
              </w:rPr>
              <w:t xml:space="preserve"> </w:t>
            </w:r>
          </w:p>
          <w:p w:rsidR="009C23AF" w:rsidRDefault="00F826EA">
            <w:pPr>
              <w:pStyle w:val="normal0"/>
              <w:jc w:val="center"/>
              <w:rPr>
                <w:sz w:val="24"/>
                <w:szCs w:val="24"/>
              </w:rPr>
            </w:pPr>
            <w:r>
              <w:rPr>
                <w:sz w:val="24"/>
                <w:szCs w:val="24"/>
              </w:rPr>
              <w:t xml:space="preserve">Students will analyze primary and secondary source documents and then share what they learned with other students, in order to fill out graphic organizer. </w:t>
            </w:r>
          </w:p>
          <w:p w:rsidR="009C23AF" w:rsidRDefault="00F826EA">
            <w:pPr>
              <w:pStyle w:val="normal0"/>
              <w:jc w:val="center"/>
              <w:rPr>
                <w:b/>
              </w:rPr>
            </w:pPr>
            <w:r>
              <w:rPr>
                <w:b/>
              </w:rPr>
              <w:t xml:space="preserve"> </w:t>
            </w:r>
          </w:p>
        </w:tc>
        <w:tc>
          <w:tcPr>
            <w:tcW w:w="321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Sources:</w:t>
            </w:r>
          </w:p>
          <w:p w:rsidR="009C23AF" w:rsidRDefault="00F826EA">
            <w:pPr>
              <w:pStyle w:val="normal0"/>
              <w:jc w:val="center"/>
              <w:rPr>
                <w:b/>
              </w:rPr>
            </w:pPr>
            <w:r>
              <w:rPr>
                <w:b/>
              </w:rPr>
              <w:t xml:space="preserve"> </w:t>
            </w:r>
          </w:p>
          <w:p w:rsidR="009C23AF" w:rsidRDefault="00F826EA">
            <w:pPr>
              <w:pStyle w:val="normal0"/>
              <w:widowControl w:val="0"/>
              <w:numPr>
                <w:ilvl w:val="0"/>
                <w:numId w:val="1"/>
              </w:numPr>
              <w:pBdr>
                <w:top w:val="nil"/>
                <w:left w:val="nil"/>
                <w:bottom w:val="nil"/>
                <w:right w:val="nil"/>
                <w:between w:val="nil"/>
              </w:pBdr>
              <w:contextualSpacing/>
            </w:pPr>
            <w:hyperlink r:id="rId9">
              <w:r>
                <w:rPr>
                  <w:color w:val="1155CC"/>
                  <w:u w:val="single"/>
                </w:rPr>
                <w:t>http://rooseveltinstitute.org/great-depression-great-recession/</w:t>
              </w:r>
            </w:hyperlink>
          </w:p>
          <w:p w:rsidR="009C23AF" w:rsidRDefault="00F826EA">
            <w:pPr>
              <w:pStyle w:val="normal0"/>
              <w:widowControl w:val="0"/>
              <w:numPr>
                <w:ilvl w:val="0"/>
                <w:numId w:val="1"/>
              </w:numPr>
              <w:pBdr>
                <w:top w:val="nil"/>
                <w:left w:val="nil"/>
                <w:bottom w:val="nil"/>
                <w:right w:val="nil"/>
                <w:between w:val="nil"/>
              </w:pBdr>
              <w:contextualSpacing/>
            </w:pPr>
            <w:hyperlink r:id="rId10">
              <w:r>
                <w:rPr>
                  <w:color w:val="1155CC"/>
                  <w:u w:val="single"/>
                </w:rPr>
                <w:t>http://www.presidency.ucsb.edu/ws/index.php?pid=14540</w:t>
              </w:r>
            </w:hyperlink>
          </w:p>
          <w:p w:rsidR="009C23AF" w:rsidRDefault="00F826EA">
            <w:pPr>
              <w:pStyle w:val="normal0"/>
              <w:widowControl w:val="0"/>
              <w:numPr>
                <w:ilvl w:val="0"/>
                <w:numId w:val="1"/>
              </w:numPr>
              <w:pBdr>
                <w:top w:val="nil"/>
                <w:left w:val="nil"/>
                <w:bottom w:val="nil"/>
                <w:right w:val="nil"/>
                <w:between w:val="nil"/>
              </w:pBdr>
              <w:contextualSpacing/>
            </w:pPr>
            <w:hyperlink r:id="rId11">
              <w:r>
                <w:rPr>
                  <w:color w:val="1155CC"/>
                  <w:u w:val="single"/>
                </w:rPr>
                <w:t>http://www.presidency.ucsb.edu/ws/index.php?pid=14473</w:t>
              </w:r>
            </w:hyperlink>
            <w:r>
              <w:t xml:space="preserve"> </w:t>
            </w:r>
          </w:p>
        </w:tc>
      </w:tr>
    </w:tbl>
    <w:p w:rsidR="009C23AF" w:rsidRDefault="009C23AF">
      <w:pPr>
        <w:pStyle w:val="normal0"/>
      </w:pPr>
    </w:p>
    <w:p w:rsidR="009C23AF" w:rsidRDefault="009C23AF">
      <w:pPr>
        <w:pStyle w:val="normal0"/>
      </w:pPr>
    </w:p>
    <w:tbl>
      <w:tblPr>
        <w:tblStyle w:val="a6"/>
        <w:tblW w:w="10290" w:type="dxa"/>
        <w:tblBorders>
          <w:top w:val="nil"/>
          <w:left w:val="nil"/>
          <w:bottom w:val="nil"/>
          <w:right w:val="nil"/>
          <w:insideH w:val="nil"/>
          <w:insideV w:val="nil"/>
        </w:tblBorders>
        <w:tblLayout w:type="fixed"/>
        <w:tblLook w:val="0600" w:firstRow="0" w:lastRow="0" w:firstColumn="0" w:lastColumn="0" w:noHBand="1" w:noVBand="1"/>
      </w:tblPr>
      <w:tblGrid>
        <w:gridCol w:w="3360"/>
        <w:gridCol w:w="3705"/>
        <w:gridCol w:w="3225"/>
      </w:tblGrid>
      <w:tr w:rsidR="009C23AF">
        <w:trPr>
          <w:trHeight w:val="3760"/>
        </w:trPr>
        <w:tc>
          <w:tcPr>
            <w:tcW w:w="336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lastRenderedPageBreak/>
              <w:t>4. Supporting Question:</w:t>
            </w:r>
          </w:p>
          <w:p w:rsidR="009C23AF" w:rsidRDefault="00F826EA">
            <w:pPr>
              <w:pStyle w:val="normal0"/>
              <w:jc w:val="center"/>
              <w:rPr>
                <w:b/>
              </w:rPr>
            </w:pPr>
            <w:r>
              <w:rPr>
                <w:b/>
              </w:rPr>
              <w:t xml:space="preserve"> </w:t>
            </w:r>
          </w:p>
          <w:p w:rsidR="009C23AF" w:rsidRDefault="00F826EA">
            <w:pPr>
              <w:pStyle w:val="normal0"/>
              <w:jc w:val="center"/>
            </w:pPr>
            <w:r>
              <w:t>Did FDR get us out of the depression by sound economic theory or by creating hope?</w:t>
            </w:r>
          </w:p>
          <w:p w:rsidR="009C23AF" w:rsidRDefault="00F826EA">
            <w:pPr>
              <w:pStyle w:val="normal0"/>
              <w:jc w:val="center"/>
            </w:pPr>
            <w:r>
              <w:t>(History Mystery)</w:t>
            </w:r>
          </w:p>
        </w:tc>
        <w:tc>
          <w:tcPr>
            <w:tcW w:w="3705"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Formative Task:</w:t>
            </w:r>
          </w:p>
          <w:p w:rsidR="009C23AF" w:rsidRDefault="00F826EA">
            <w:pPr>
              <w:pStyle w:val="normal0"/>
              <w:jc w:val="center"/>
              <w:rPr>
                <w:b/>
                <w:sz w:val="24"/>
                <w:szCs w:val="24"/>
              </w:rPr>
            </w:pPr>
            <w:r>
              <w:rPr>
                <w:b/>
                <w:sz w:val="24"/>
                <w:szCs w:val="24"/>
              </w:rPr>
              <w:t xml:space="preserve"> </w:t>
            </w:r>
          </w:p>
          <w:p w:rsidR="009C23AF" w:rsidRDefault="00F826EA">
            <w:pPr>
              <w:pStyle w:val="normal0"/>
              <w:jc w:val="center"/>
            </w:pPr>
            <w:r>
              <w:t>Students will analyze documents that either support their claim for economic theory or hope. Students will work together in groups to complete a history mystery activity. Students will then create a claim statement using the documents pro</w:t>
            </w:r>
            <w:r>
              <w:t xml:space="preserve">vided as evidence. </w:t>
            </w:r>
          </w:p>
          <w:p w:rsidR="009C23AF" w:rsidRDefault="00F826EA">
            <w:pPr>
              <w:pStyle w:val="normal0"/>
              <w:jc w:val="center"/>
            </w:pPr>
            <w:r>
              <w:t xml:space="preserve"> </w:t>
            </w:r>
          </w:p>
          <w:p w:rsidR="009C23AF" w:rsidRDefault="00F826EA">
            <w:pPr>
              <w:pStyle w:val="normal0"/>
              <w:jc w:val="center"/>
            </w:pPr>
            <w:r>
              <w:t xml:space="preserve"> </w:t>
            </w:r>
          </w:p>
          <w:p w:rsidR="009C23AF" w:rsidRDefault="00F826EA">
            <w:pPr>
              <w:pStyle w:val="normal0"/>
              <w:jc w:val="center"/>
              <w:rPr>
                <w:b/>
              </w:rPr>
            </w:pPr>
            <w:r>
              <w:rPr>
                <w:b/>
              </w:rPr>
              <w:t xml:space="preserve"> </w:t>
            </w:r>
          </w:p>
        </w:tc>
        <w:tc>
          <w:tcPr>
            <w:tcW w:w="322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9C23AF" w:rsidRDefault="00F826EA">
            <w:pPr>
              <w:pStyle w:val="normal0"/>
              <w:jc w:val="center"/>
              <w:rPr>
                <w:b/>
                <w:sz w:val="24"/>
                <w:szCs w:val="24"/>
              </w:rPr>
            </w:pPr>
            <w:r>
              <w:rPr>
                <w:b/>
                <w:sz w:val="24"/>
                <w:szCs w:val="24"/>
              </w:rPr>
              <w:t>Sources:</w:t>
            </w:r>
          </w:p>
          <w:p w:rsidR="009C23AF" w:rsidRDefault="00F826EA">
            <w:pPr>
              <w:pStyle w:val="normal0"/>
              <w:jc w:val="center"/>
              <w:rPr>
                <w:b/>
              </w:rPr>
            </w:pPr>
            <w:r>
              <w:rPr>
                <w:b/>
              </w:rPr>
              <w:t xml:space="preserve"> </w:t>
            </w:r>
          </w:p>
          <w:p w:rsidR="009C23AF" w:rsidRDefault="00F826EA">
            <w:pPr>
              <w:pStyle w:val="normal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Carroll, C. (2009, January 15). New Data, Same Result: New Deal Never Solved Unemployment. Retrieved from https://www.dailysignal.com/2009/01/15/new-data-same-result-new-deal-never-solved-unemployment/</w:t>
            </w:r>
          </w:p>
          <w:p w:rsidR="009C23AF" w:rsidRDefault="009C23AF">
            <w:pPr>
              <w:pStyle w:val="normal0"/>
              <w:rPr>
                <w:rFonts w:ascii="Times New Roman" w:eastAsia="Times New Roman" w:hAnsi="Times New Roman" w:cs="Times New Roman"/>
                <w:color w:val="333333"/>
                <w:sz w:val="20"/>
                <w:szCs w:val="20"/>
              </w:rPr>
            </w:pPr>
          </w:p>
          <w:p w:rsidR="009C23AF" w:rsidRDefault="00F826EA">
            <w:pPr>
              <w:pStyle w:val="normal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G. (n.d.). F.d.r</w:t>
            </w:r>
            <w:r>
              <w:rPr>
                <w:rFonts w:ascii="Times New Roman" w:eastAsia="Times New Roman" w:hAnsi="Times New Roman" w:cs="Times New Roman"/>
                <w:color w:val="333333"/>
                <w:sz w:val="20"/>
                <w:szCs w:val="20"/>
              </w:rPr>
              <w:t>. Cartoon, 1930s by Granger. Retrieved from https://fineartamerica.com/featured/fdr-cartoon-1930s-granger.html</w:t>
            </w:r>
          </w:p>
          <w:p w:rsidR="009C23AF" w:rsidRDefault="009C23AF">
            <w:pPr>
              <w:pStyle w:val="normal0"/>
              <w:rPr>
                <w:rFonts w:ascii="Times New Roman" w:eastAsia="Times New Roman" w:hAnsi="Times New Roman" w:cs="Times New Roman"/>
                <w:color w:val="333333"/>
                <w:sz w:val="20"/>
                <w:szCs w:val="20"/>
              </w:rPr>
            </w:pPr>
          </w:p>
          <w:p w:rsidR="009C23AF" w:rsidRDefault="00F826EA">
            <w:pPr>
              <w:pStyle w:val="normal0"/>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National Brotherhood Week: Gone and Forgotten. (n.d.). Retrieved from http://www.chicagonow.com/not-for-jews-only/2013/02/national-brotherhood-w</w:t>
            </w:r>
            <w:r>
              <w:rPr>
                <w:rFonts w:ascii="Times New Roman" w:eastAsia="Times New Roman" w:hAnsi="Times New Roman" w:cs="Times New Roman"/>
                <w:color w:val="333333"/>
                <w:sz w:val="20"/>
                <w:szCs w:val="20"/>
              </w:rPr>
              <w:t>eek-123/</w:t>
            </w:r>
          </w:p>
          <w:p w:rsidR="009C23AF" w:rsidRDefault="009C23AF">
            <w:pPr>
              <w:pStyle w:val="normal0"/>
              <w:widowControl w:val="0"/>
              <w:pBdr>
                <w:top w:val="nil"/>
                <w:left w:val="nil"/>
                <w:bottom w:val="nil"/>
                <w:right w:val="nil"/>
                <w:between w:val="nil"/>
              </w:pBdr>
            </w:pPr>
          </w:p>
        </w:tc>
      </w:tr>
    </w:tbl>
    <w:p w:rsidR="009C23AF" w:rsidRDefault="009C23AF">
      <w:pPr>
        <w:pStyle w:val="normal0"/>
      </w:pPr>
    </w:p>
    <w:p w:rsidR="009C23AF" w:rsidRDefault="009C23AF">
      <w:pPr>
        <w:pStyle w:val="normal0"/>
      </w:pPr>
    </w:p>
    <w:tbl>
      <w:tblPr>
        <w:tblStyle w:val="a7"/>
        <w:tblW w:w="10320" w:type="dxa"/>
        <w:tblBorders>
          <w:top w:val="nil"/>
          <w:left w:val="nil"/>
          <w:bottom w:val="nil"/>
          <w:right w:val="nil"/>
          <w:insideH w:val="nil"/>
          <w:insideV w:val="nil"/>
        </w:tblBorders>
        <w:tblLayout w:type="fixed"/>
        <w:tblLook w:val="0600" w:firstRow="0" w:lastRow="0" w:firstColumn="0" w:lastColumn="0" w:noHBand="1" w:noVBand="1"/>
      </w:tblPr>
      <w:tblGrid>
        <w:gridCol w:w="10320"/>
      </w:tblGrid>
      <w:tr w:rsidR="009C23AF">
        <w:trPr>
          <w:trHeight w:val="3160"/>
        </w:trPr>
        <w:tc>
          <w:tcPr>
            <w:tcW w:w="1032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widowControl w:val="0"/>
              <w:pBdr>
                <w:top w:val="nil"/>
                <w:left w:val="nil"/>
                <w:bottom w:val="nil"/>
                <w:right w:val="nil"/>
                <w:between w:val="nil"/>
              </w:pBdr>
              <w:rPr>
                <w:b/>
                <w:sz w:val="24"/>
                <w:szCs w:val="24"/>
              </w:rPr>
            </w:pPr>
            <w:r>
              <w:rPr>
                <w:b/>
                <w:sz w:val="24"/>
                <w:szCs w:val="24"/>
              </w:rPr>
              <w:t>Summative Performance Task</w:t>
            </w:r>
          </w:p>
          <w:p w:rsidR="009C23AF" w:rsidRDefault="00F826EA">
            <w:pPr>
              <w:pStyle w:val="normal0"/>
              <w:widowControl w:val="0"/>
              <w:pBdr>
                <w:top w:val="nil"/>
                <w:left w:val="nil"/>
                <w:bottom w:val="nil"/>
                <w:right w:val="nil"/>
                <w:between w:val="nil"/>
              </w:pBdr>
              <w:rPr>
                <w:b/>
                <w:sz w:val="24"/>
                <w:szCs w:val="24"/>
              </w:rPr>
            </w:pPr>
            <w:r>
              <w:rPr>
                <w:b/>
                <w:sz w:val="24"/>
                <w:szCs w:val="24"/>
              </w:rPr>
              <w:t xml:space="preserve"> </w:t>
            </w:r>
          </w:p>
          <w:p w:rsidR="009C23AF" w:rsidRDefault="00F826EA">
            <w:pPr>
              <w:pStyle w:val="normal0"/>
              <w:rPr>
                <w:b/>
              </w:rPr>
            </w:pPr>
            <w:r>
              <w:rPr>
                <w:b/>
              </w:rPr>
              <w:t>Students will complete a Document Based Question Essay in class as a culminating project for the unit. Students will analyze the documents provided, answer scaffolding questions based on the documents and then based on the documents each student will write</w:t>
            </w:r>
            <w:r>
              <w:rPr>
                <w:b/>
              </w:rPr>
              <w:t xml:space="preserve"> an essay responding to the question, “</w:t>
            </w:r>
            <w:r>
              <w:rPr>
                <w:rFonts w:ascii="Times New Roman" w:eastAsia="Times New Roman" w:hAnsi="Times New Roman" w:cs="Times New Roman"/>
                <w:b/>
              </w:rPr>
              <w:t>Did Franklin Roosevelt Get Us Out of The Depression by Creating Hope or Sound Economic Policy?</w:t>
            </w:r>
            <w:r>
              <w:rPr>
                <w:b/>
              </w:rPr>
              <w:t>”</w:t>
            </w:r>
          </w:p>
          <w:p w:rsidR="009C23AF" w:rsidRDefault="00F826EA">
            <w:pPr>
              <w:pStyle w:val="normal0"/>
              <w:jc w:val="center"/>
            </w:pPr>
            <w:r>
              <w:t xml:space="preserve"> </w:t>
            </w:r>
          </w:p>
        </w:tc>
      </w:tr>
    </w:tbl>
    <w:p w:rsidR="009C23AF" w:rsidRDefault="009C23AF">
      <w:pPr>
        <w:pStyle w:val="normal0"/>
      </w:pPr>
    </w:p>
    <w:tbl>
      <w:tblPr>
        <w:tblStyle w:val="a8"/>
        <w:tblW w:w="1030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9C23AF">
        <w:trPr>
          <w:trHeight w:val="3160"/>
        </w:trPr>
        <w:tc>
          <w:tcPr>
            <w:tcW w:w="10305"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9C23AF" w:rsidRDefault="00F826EA">
            <w:pPr>
              <w:pStyle w:val="normal0"/>
              <w:widowControl w:val="0"/>
              <w:pBdr>
                <w:top w:val="nil"/>
                <w:left w:val="nil"/>
                <w:bottom w:val="nil"/>
                <w:right w:val="nil"/>
                <w:between w:val="nil"/>
              </w:pBdr>
              <w:rPr>
                <w:b/>
                <w:sz w:val="24"/>
                <w:szCs w:val="24"/>
              </w:rPr>
            </w:pPr>
            <w:r>
              <w:rPr>
                <w:b/>
                <w:sz w:val="24"/>
                <w:szCs w:val="24"/>
              </w:rPr>
              <w:lastRenderedPageBreak/>
              <w:t>Taking Informed Action</w:t>
            </w:r>
          </w:p>
          <w:p w:rsidR="009C23AF" w:rsidRDefault="00F826EA">
            <w:pPr>
              <w:pStyle w:val="normal0"/>
              <w:widowControl w:val="0"/>
              <w:pBdr>
                <w:top w:val="nil"/>
                <w:left w:val="nil"/>
                <w:bottom w:val="nil"/>
                <w:right w:val="nil"/>
                <w:between w:val="nil"/>
              </w:pBdr>
              <w:rPr>
                <w:b/>
                <w:sz w:val="24"/>
                <w:szCs w:val="24"/>
              </w:rPr>
            </w:pPr>
            <w:r>
              <w:rPr>
                <w:b/>
                <w:sz w:val="24"/>
                <w:szCs w:val="24"/>
              </w:rPr>
              <w:t xml:space="preserve"> </w:t>
            </w:r>
          </w:p>
          <w:p w:rsidR="009C23AF" w:rsidRDefault="00F826EA">
            <w:pPr>
              <w:pStyle w:val="normal0"/>
              <w:rPr>
                <w:b/>
              </w:rPr>
            </w:pPr>
            <w:r>
              <w:rPr>
                <w:b/>
              </w:rPr>
              <w:t>Students will go out into the school or larger community and interview people. The interview will consist of asking people about a time they may have hopeless and if/how the situation turned around. They can also ask about a time they were very hopeful abo</w:t>
            </w:r>
            <w:r>
              <w:rPr>
                <w:b/>
              </w:rPr>
              <w:t>ut something. Students will then type up the stories they heard and use them to decorate a hallway board. This way any students, teachers, or visitors will pass it in the hallway and can maybe find some inspiration or a turn a feeling of hopelessness aroun</w:t>
            </w:r>
            <w:r>
              <w:rPr>
                <w:b/>
              </w:rPr>
              <w:t xml:space="preserve">d. Students will have to work together to make up specific interview questions and also create a consent form to be signed by each interviewee. </w:t>
            </w:r>
          </w:p>
        </w:tc>
      </w:tr>
    </w:tbl>
    <w:p w:rsidR="009C23AF" w:rsidRDefault="009C23AF">
      <w:pPr>
        <w:pStyle w:val="normal0"/>
      </w:pPr>
    </w:p>
    <w:p w:rsidR="009C23AF" w:rsidRDefault="009C23AF">
      <w:pPr>
        <w:pStyle w:val="normal0"/>
      </w:pPr>
    </w:p>
    <w:p w:rsidR="009C23AF" w:rsidRDefault="009C23AF">
      <w:pPr>
        <w:pStyle w:val="normal0"/>
      </w:pPr>
    </w:p>
    <w:p w:rsidR="009C23AF" w:rsidRDefault="009C23AF">
      <w:pPr>
        <w:pStyle w:val="normal0"/>
      </w:pPr>
    </w:p>
    <w:p w:rsidR="009C23AF" w:rsidRDefault="00F826EA">
      <w:pPr>
        <w:pStyle w:val="normal0"/>
        <w:spacing w:line="240" w:lineRule="auto"/>
        <w:jc w:val="center"/>
        <w:rPr>
          <w:rFonts w:ascii="Times New Roman" w:eastAsia="Times New Roman" w:hAnsi="Times New Roman" w:cs="Times New Roman"/>
          <w:b/>
          <w:sz w:val="28"/>
          <w:szCs w:val="28"/>
        </w:rPr>
      </w:pPr>
      <w:r>
        <w:br w:type="page"/>
      </w:r>
    </w:p>
    <w:p w:rsidR="009C23AF" w:rsidRDefault="009C23AF">
      <w:pPr>
        <w:pStyle w:val="normal0"/>
      </w:pPr>
    </w:p>
    <w:sectPr w:rsidR="009C23AF">
      <w:footerReference w:type="default" r:id="rId12"/>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26EA">
      <w:pPr>
        <w:spacing w:line="240" w:lineRule="auto"/>
      </w:pPr>
      <w:r>
        <w:separator/>
      </w:r>
    </w:p>
  </w:endnote>
  <w:endnote w:type="continuationSeparator" w:id="0">
    <w:p w:rsidR="00000000" w:rsidRDefault="00F82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AF" w:rsidRDefault="009C23AF">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26EA">
      <w:pPr>
        <w:spacing w:line="240" w:lineRule="auto"/>
      </w:pPr>
      <w:r>
        <w:separator/>
      </w:r>
    </w:p>
  </w:footnote>
  <w:footnote w:type="continuationSeparator" w:id="0">
    <w:p w:rsidR="00000000" w:rsidRDefault="00F826E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B3D23"/>
    <w:multiLevelType w:val="multilevel"/>
    <w:tmpl w:val="5F9A2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23AF"/>
    <w:rsid w:val="009C23AF"/>
    <w:rsid w:val="00F8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26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6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26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6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idency.ucsb.edu/ws/index.php?pid=14473"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ooseveltinstitute.org/great-depression-great-recession/" TargetMode="External"/><Relationship Id="rId10" Type="http://schemas.openxmlformats.org/officeDocument/2006/relationships/hyperlink" Target="http://www.presidency.ucsb.edu/ws/index.php?pid=14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1138</Words>
  <Characters>6490</Characters>
  <Application>Microsoft Macintosh Word</Application>
  <DocSecurity>0</DocSecurity>
  <Lines>54</Lines>
  <Paragraphs>15</Paragraphs>
  <ScaleCrop>false</ScaleCrop>
  <Company>Molloy College</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2018-05-03T02:38:00Z</dcterms:created>
  <dcterms:modified xsi:type="dcterms:W3CDTF">2018-05-03T02:38:00Z</dcterms:modified>
</cp:coreProperties>
</file>